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«УЛЫБКА» Г. ВОЛГОДОНСКА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</w:p>
    <w:p w14:paraId="08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Аналитическая справка</w:t>
      </w:r>
    </w:p>
    <w:p w14:paraId="09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педагогической диагностики </w:t>
      </w:r>
    </w:p>
    <w:p w14:paraId="0A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воспитательно - образова</w:t>
      </w:r>
      <w:r>
        <w:rPr>
          <w:rFonts w:ascii="Times New Roman" w:hAnsi="Times New Roman"/>
          <w:sz w:val="28"/>
        </w:rPr>
        <w:t xml:space="preserve">тельного процесса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конец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2022-2023</w:t>
      </w:r>
      <w:r>
        <w:rPr>
          <w:rFonts w:ascii="Times New Roman" w:hAnsi="Times New Roman"/>
          <w:sz w:val="28"/>
        </w:rPr>
        <w:t xml:space="preserve"> учебного года</w:t>
      </w:r>
    </w:p>
    <w:p w14:paraId="0B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подготовительной группе</w:t>
      </w:r>
      <w:r>
        <w:rPr>
          <w:rFonts w:ascii="Times New Roman" w:hAnsi="Times New Roman"/>
          <w:sz w:val="28"/>
        </w:rPr>
        <w:t xml:space="preserve"> ком</w:t>
      </w:r>
      <w:r>
        <w:rPr>
          <w:rFonts w:ascii="Times New Roman" w:hAnsi="Times New Roman"/>
          <w:sz w:val="28"/>
        </w:rPr>
        <w:t>пенсирующей направленности  (6-7</w:t>
      </w:r>
      <w:r>
        <w:rPr>
          <w:rFonts w:ascii="Times New Roman" w:hAnsi="Times New Roman"/>
          <w:sz w:val="28"/>
        </w:rPr>
        <w:t xml:space="preserve"> лет) №14</w:t>
      </w:r>
    </w:p>
    <w:p w14:paraId="0C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Воспитатели: Юдина С.М. –высшая  </w:t>
      </w:r>
    </w:p>
    <w:p w14:paraId="1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 xml:space="preserve">квалификационная категория;  </w:t>
      </w:r>
    </w:p>
    <w:p w14:paraId="1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>Степанько</w:t>
      </w:r>
      <w:r>
        <w:rPr>
          <w:rFonts w:ascii="Times New Roman" w:hAnsi="Times New Roman"/>
          <w:sz w:val="28"/>
        </w:rPr>
        <w:t xml:space="preserve"> Н. А. – высшая </w:t>
      </w:r>
    </w:p>
    <w:p w14:paraId="1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квалификационная категория.</w:t>
      </w:r>
    </w:p>
    <w:p w14:paraId="1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16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line="360" w:lineRule="auto"/>
        <w:ind/>
        <w:rPr>
          <w:rFonts w:ascii="Times New Roman" w:hAnsi="Times New Roman"/>
          <w:sz w:val="28"/>
        </w:rPr>
      </w:pPr>
    </w:p>
    <w:p w14:paraId="19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олгодонск 2022-2023</w:t>
      </w:r>
      <w:r>
        <w:rPr>
          <w:rFonts w:ascii="Times New Roman" w:hAnsi="Times New Roman"/>
          <w:sz w:val="28"/>
        </w:rPr>
        <w:t xml:space="preserve"> учебный год</w:t>
      </w:r>
    </w:p>
    <w:p w14:paraId="1A000000">
      <w:pPr>
        <w:tabs>
          <w:tab w:leader="none" w:pos="851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ind w:firstLine="0" w:left="567" w:right="5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На основании приказа заведующего МБДОУ ДС « Улыб</w:t>
      </w:r>
      <w:r>
        <w:rPr>
          <w:rFonts w:ascii="Times New Roman" w:hAnsi="Times New Roman"/>
          <w:sz w:val="28"/>
        </w:rPr>
        <w:t xml:space="preserve">ка» г. </w:t>
      </w:r>
      <w:r>
        <w:rPr>
          <w:rFonts w:ascii="Times New Roman" w:hAnsi="Times New Roman"/>
          <w:sz w:val="28"/>
        </w:rPr>
        <w:t>Волгодонска от 04.05.2023 №149</w:t>
      </w:r>
      <w:r>
        <w:rPr>
          <w:rFonts w:ascii="Times New Roman" w:hAnsi="Times New Roman"/>
          <w:sz w:val="28"/>
        </w:rPr>
        <w:t xml:space="preserve"> «Об организации педагогичес</w:t>
      </w:r>
      <w:r>
        <w:rPr>
          <w:rFonts w:ascii="Times New Roman" w:hAnsi="Times New Roman"/>
          <w:sz w:val="28"/>
        </w:rPr>
        <w:t>кой диагностики на конец</w:t>
      </w:r>
      <w:r>
        <w:rPr>
          <w:rFonts w:ascii="Times New Roman" w:hAnsi="Times New Roman"/>
          <w:sz w:val="28"/>
        </w:rPr>
        <w:t xml:space="preserve">   2022-2023</w:t>
      </w:r>
      <w:r>
        <w:rPr>
          <w:rFonts w:ascii="Times New Roman" w:hAnsi="Times New Roman"/>
          <w:sz w:val="28"/>
        </w:rPr>
        <w:t xml:space="preserve"> учебного года» было организовано  проведение педагогической  диагностики по реализуемой адаптированной образовательной программе дошкольного образования муниципального бюджетного образовательного учреждения детского сада « Улыбка» г. Волгодонска для детей с тяжелыми</w:t>
      </w:r>
      <w:r>
        <w:rPr>
          <w:rFonts w:ascii="Times New Roman" w:hAnsi="Times New Roman"/>
          <w:sz w:val="28"/>
        </w:rPr>
        <w:t xml:space="preserve"> нарушениями речи на конец</w:t>
      </w:r>
      <w:r>
        <w:rPr>
          <w:rFonts w:ascii="Times New Roman" w:hAnsi="Times New Roman"/>
          <w:sz w:val="28"/>
        </w:rPr>
        <w:t xml:space="preserve"> 2022-2023</w:t>
      </w:r>
      <w:r>
        <w:rPr>
          <w:rFonts w:ascii="Times New Roman" w:hAnsi="Times New Roman"/>
          <w:sz w:val="28"/>
        </w:rPr>
        <w:t xml:space="preserve"> учебного года, с целью выявления наличия динамики развития каждого</w:t>
      </w:r>
      <w:r>
        <w:rPr>
          <w:rFonts w:ascii="Times New Roman" w:hAnsi="Times New Roman"/>
          <w:sz w:val="28"/>
        </w:rPr>
        <w:t xml:space="preserve"> ребенк</w:t>
      </w:r>
      <w:r>
        <w:rPr>
          <w:rFonts w:ascii="Times New Roman" w:hAnsi="Times New Roman"/>
          <w:sz w:val="28"/>
        </w:rPr>
        <w:t>а.</w:t>
      </w:r>
    </w:p>
    <w:p w14:paraId="1C000000">
      <w:pPr>
        <w:ind w:firstLine="0" w:left="567" w:right="5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Педагогическая диагностика по реализуемой рабоче</w:t>
      </w:r>
      <w:r>
        <w:rPr>
          <w:rFonts w:ascii="Times New Roman" w:hAnsi="Times New Roman"/>
          <w:sz w:val="28"/>
        </w:rPr>
        <w:t xml:space="preserve">й программе воспитателей подготовительной </w:t>
      </w:r>
      <w:r>
        <w:rPr>
          <w:rFonts w:ascii="Times New Roman" w:hAnsi="Times New Roman"/>
          <w:sz w:val="28"/>
        </w:rPr>
        <w:t xml:space="preserve"> группы ко</w:t>
      </w:r>
      <w:r>
        <w:rPr>
          <w:rFonts w:ascii="Times New Roman" w:hAnsi="Times New Roman"/>
          <w:sz w:val="28"/>
        </w:rPr>
        <w:t>мпенсирующей н</w:t>
      </w:r>
      <w:r>
        <w:rPr>
          <w:rFonts w:ascii="Times New Roman" w:hAnsi="Times New Roman"/>
          <w:sz w:val="28"/>
        </w:rPr>
        <w:t>аправленности (6-7 лет) на  2022-2023</w:t>
      </w:r>
      <w:r>
        <w:rPr>
          <w:rFonts w:ascii="Times New Roman" w:hAnsi="Times New Roman"/>
          <w:sz w:val="28"/>
        </w:rPr>
        <w:t xml:space="preserve"> учебный  год муниципального бюджетного образовательного учреждения детского сада « Улыбка»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Волгодонска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 разработанной на основе адаптированной Образовательной программы дошкольного образования муниципального бюджетного образовательного учреждения детского сада « Улыбка</w:t>
      </w:r>
      <w:r>
        <w:rPr>
          <w:rFonts w:ascii="Times New Roman" w:hAnsi="Times New Roman"/>
          <w:sz w:val="28"/>
        </w:rPr>
        <w:t>» г. Волгодонска  на конец</w:t>
      </w:r>
      <w:r>
        <w:rPr>
          <w:rFonts w:ascii="Times New Roman" w:hAnsi="Times New Roman"/>
          <w:sz w:val="28"/>
        </w:rPr>
        <w:t xml:space="preserve"> 2022-2023</w:t>
      </w:r>
      <w:r>
        <w:rPr>
          <w:rFonts w:ascii="Times New Roman" w:hAnsi="Times New Roman"/>
          <w:sz w:val="28"/>
        </w:rPr>
        <w:t xml:space="preserve"> учебного го</w:t>
      </w:r>
      <w:r>
        <w:rPr>
          <w:rFonts w:ascii="Times New Roman" w:hAnsi="Times New Roman"/>
          <w:sz w:val="28"/>
        </w:rPr>
        <w:t xml:space="preserve">да, </w:t>
      </w:r>
      <w:r>
        <w:rPr>
          <w:rFonts w:ascii="Times New Roman" w:hAnsi="Times New Roman"/>
          <w:sz w:val="28"/>
        </w:rPr>
        <w:t>включает:</w:t>
      </w:r>
    </w:p>
    <w:p w14:paraId="1D000000">
      <w:pPr>
        <w:ind w:firstLine="0" w:left="567" w:right="513"/>
        <w:jc w:val="both"/>
        <w:rPr>
          <w:rFonts w:ascii="Times New Roman" w:hAnsi="Times New Roman"/>
          <w:sz w:val="28"/>
        </w:rPr>
      </w:pPr>
    </w:p>
    <w:p w14:paraId="1E000000">
      <w:pPr>
        <w:ind w:firstLine="0" w:left="567" w:right="51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- игровую деятельность;</w:t>
      </w:r>
    </w:p>
    <w:p w14:paraId="1F000000">
      <w:pPr>
        <w:ind w:firstLine="0" w:left="567" w:right="51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 образовательные области:</w:t>
      </w:r>
    </w:p>
    <w:p w14:paraId="20000000">
      <w:pPr>
        <w:numPr>
          <w:ilvl w:val="0"/>
          <w:numId w:val="1"/>
        </w:numPr>
        <w:spacing w:after="0"/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«Социально – коммуникативное развитие»;</w:t>
      </w:r>
    </w:p>
    <w:p w14:paraId="21000000">
      <w:pPr>
        <w:numPr>
          <w:ilvl w:val="0"/>
          <w:numId w:val="1"/>
        </w:numPr>
        <w:spacing w:after="0"/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Познавательное развитие»;</w:t>
      </w:r>
    </w:p>
    <w:p w14:paraId="22000000">
      <w:pPr>
        <w:numPr>
          <w:ilvl w:val="0"/>
          <w:numId w:val="1"/>
        </w:numPr>
        <w:spacing w:after="0"/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«Речевое развитие»;</w:t>
      </w:r>
    </w:p>
    <w:p w14:paraId="23000000">
      <w:pPr>
        <w:numPr>
          <w:ilvl w:val="0"/>
          <w:numId w:val="1"/>
        </w:numPr>
        <w:spacing w:after="0"/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«Художественно – эстетическое развитие»;</w:t>
      </w:r>
    </w:p>
    <w:p w14:paraId="24000000">
      <w:pPr>
        <w:numPr>
          <w:ilvl w:val="0"/>
          <w:numId w:val="1"/>
        </w:numPr>
        <w:spacing w:after="0"/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«Физическое развитие».</w:t>
      </w:r>
    </w:p>
    <w:p w14:paraId="25000000">
      <w:pPr>
        <w:ind w:right="513"/>
        <w:rPr>
          <w:rFonts w:ascii="Times New Roman" w:hAnsi="Times New Roman"/>
          <w:sz w:val="28"/>
        </w:rPr>
      </w:pPr>
    </w:p>
    <w:p w14:paraId="26000000">
      <w:pPr>
        <w:ind w:firstLine="0" w:left="567" w:right="51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Характеристика детей</w:t>
      </w:r>
    </w:p>
    <w:p w14:paraId="27000000">
      <w:pPr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детей в группе__ 12</w:t>
      </w:r>
    </w:p>
    <w:p w14:paraId="28000000">
      <w:pPr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Диагностируемые дети:___12</w:t>
      </w:r>
    </w:p>
    <w:p w14:paraId="29000000">
      <w:pPr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мальчиков</w:t>
      </w:r>
      <w:r>
        <w:rPr>
          <w:rFonts w:ascii="Times New Roman" w:hAnsi="Times New Roman"/>
          <w:sz w:val="28"/>
        </w:rPr>
        <w:t xml:space="preserve"> в группе:__7</w:t>
      </w:r>
    </w:p>
    <w:p w14:paraId="2A000000">
      <w:pPr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оличество девочек в группе:____5</w:t>
      </w:r>
    </w:p>
    <w:p w14:paraId="2B000000">
      <w:pPr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</w:t>
      </w:r>
      <w:r>
        <w:rPr>
          <w:rFonts w:ascii="Times New Roman" w:hAnsi="Times New Roman"/>
          <w:sz w:val="28"/>
        </w:rPr>
        <w:t xml:space="preserve"> возраст:_6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лет</w:t>
      </w:r>
    </w:p>
    <w:p w14:paraId="2C000000">
      <w:pPr>
        <w:ind w:firstLine="0" w:left="567" w:right="513"/>
        <w:rPr>
          <w:rFonts w:ascii="Times New Roman" w:hAnsi="Times New Roman"/>
          <w:sz w:val="28"/>
        </w:rPr>
      </w:pPr>
    </w:p>
    <w:p w14:paraId="2D000000">
      <w:pPr>
        <w:ind w:firstLine="0" w:left="567" w:right="5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педагогич</w:t>
      </w:r>
      <w:r>
        <w:rPr>
          <w:rFonts w:ascii="Times New Roman" w:hAnsi="Times New Roman"/>
          <w:sz w:val="28"/>
        </w:rPr>
        <w:t xml:space="preserve">еской диагностики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конец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2022-2023</w:t>
      </w:r>
      <w:r>
        <w:rPr>
          <w:rFonts w:ascii="Times New Roman" w:hAnsi="Times New Roman"/>
          <w:sz w:val="28"/>
        </w:rPr>
        <w:t xml:space="preserve"> учебного года выявлены следующие результаты:</w:t>
      </w:r>
    </w:p>
    <w:p w14:paraId="2E000000">
      <w:pPr>
        <w:spacing w:after="120"/>
        <w:ind w:firstLine="992" w:left="-284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176"/>
        <w:tblLayout w:type="fixed"/>
      </w:tblPr>
      <w:tblGrid>
        <w:gridCol w:w="5482"/>
        <w:gridCol w:w="2299"/>
        <w:gridCol w:w="2299"/>
      </w:tblGrid>
      <w:tr>
        <w:trPr>
          <w:trHeight w:hRule="atLeast" w:val="395"/>
        </w:trPr>
        <w:tc>
          <w:tcPr>
            <w:tcW w:type="dxa" w:w="5482"/>
            <w:vMerge w:val="restart"/>
          </w:tcPr>
          <w:p w14:paraId="2F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0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Образовательная область</w:t>
            </w:r>
          </w:p>
        </w:tc>
        <w:tc>
          <w:tcPr>
            <w:tcW w:type="dxa" w:w="4598"/>
            <w:gridSpan w:val="2"/>
          </w:tcPr>
          <w:p w14:paraId="31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Конец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</w:t>
            </w:r>
          </w:p>
        </w:tc>
      </w:tr>
      <w:tr>
        <w:trPr>
          <w:trHeight w:hRule="atLeast" w:val="131"/>
        </w:trPr>
        <w:tc>
          <w:tcPr>
            <w:tcW w:type="dxa" w:w="5482"/>
            <w:gridSpan w:val="1"/>
            <w:vMerge w:val="continue"/>
          </w:tcPr>
          <w:p/>
        </w:tc>
        <w:tc>
          <w:tcPr>
            <w:tcW w:type="dxa" w:w="2299"/>
          </w:tcPr>
          <w:p w14:paraId="32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Освоили</w:t>
            </w:r>
          </w:p>
        </w:tc>
        <w:tc>
          <w:tcPr>
            <w:tcW w:type="dxa" w:w="2299"/>
          </w:tcPr>
          <w:p w14:paraId="33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Имеют затруднения</w:t>
            </w:r>
          </w:p>
        </w:tc>
      </w:tr>
      <w:tr>
        <w:trPr>
          <w:trHeight w:hRule="atLeast" w:val="630"/>
        </w:trPr>
        <w:tc>
          <w:tcPr>
            <w:tcW w:type="dxa" w:w="5482"/>
          </w:tcPr>
          <w:p w14:paraId="34000000">
            <w:pPr>
              <w:spacing w:after="12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1.«Социально – коммуникативное развитие»</w:t>
            </w:r>
          </w:p>
        </w:tc>
        <w:tc>
          <w:tcPr>
            <w:tcW w:type="dxa" w:w="2299"/>
          </w:tcPr>
          <w:p w14:paraId="35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детей (92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type="dxa" w:w="2299"/>
          </w:tcPr>
          <w:p w14:paraId="36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ребенок  (8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</w:tr>
      <w:tr>
        <w:trPr>
          <w:trHeight w:hRule="atLeast" w:val="603"/>
        </w:trPr>
        <w:tc>
          <w:tcPr>
            <w:tcW w:type="dxa" w:w="5482"/>
          </w:tcPr>
          <w:p w14:paraId="37000000">
            <w:pPr>
              <w:spacing w:after="12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2.«Познавательное развитие»</w:t>
            </w:r>
          </w:p>
        </w:tc>
        <w:tc>
          <w:tcPr>
            <w:tcW w:type="dxa" w:w="2299"/>
          </w:tcPr>
          <w:p w14:paraId="38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детей (84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type="dxa" w:w="2299"/>
          </w:tcPr>
          <w:p w14:paraId="39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ребенка  (16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</w:tr>
      <w:tr>
        <w:trPr>
          <w:trHeight w:hRule="atLeast" w:val="550"/>
        </w:trPr>
        <w:tc>
          <w:tcPr>
            <w:tcW w:type="dxa" w:w="5482"/>
          </w:tcPr>
          <w:p w14:paraId="3A000000">
            <w:pPr>
              <w:spacing w:after="12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«Речевое развитие»</w:t>
            </w:r>
          </w:p>
        </w:tc>
        <w:tc>
          <w:tcPr>
            <w:tcW w:type="dxa" w:w="2299"/>
          </w:tcPr>
          <w:p w14:paraId="3B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детей (84%)</w:t>
            </w:r>
          </w:p>
        </w:tc>
        <w:tc>
          <w:tcPr>
            <w:tcW w:type="dxa" w:w="2299"/>
          </w:tcPr>
          <w:p w14:paraId="3C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ребенка  (16%)</w:t>
            </w:r>
          </w:p>
        </w:tc>
      </w:tr>
      <w:tr>
        <w:trPr>
          <w:trHeight w:hRule="atLeast" w:val="639"/>
        </w:trPr>
        <w:tc>
          <w:tcPr>
            <w:tcW w:type="dxa" w:w="5482"/>
          </w:tcPr>
          <w:p w14:paraId="3D000000">
            <w:pPr>
              <w:spacing w:after="12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«Художественно – эстетическое развитие»</w:t>
            </w:r>
          </w:p>
        </w:tc>
        <w:tc>
          <w:tcPr>
            <w:tcW w:type="dxa" w:w="2299"/>
          </w:tcPr>
          <w:p w14:paraId="3E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детей (84%)</w:t>
            </w:r>
          </w:p>
        </w:tc>
        <w:tc>
          <w:tcPr>
            <w:tcW w:type="dxa" w:w="2299"/>
          </w:tcPr>
          <w:p w14:paraId="3F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ребенка  (16%)</w:t>
            </w:r>
          </w:p>
        </w:tc>
      </w:tr>
      <w:tr>
        <w:trPr>
          <w:trHeight w:hRule="atLeast" w:val="569"/>
        </w:trPr>
        <w:tc>
          <w:tcPr>
            <w:tcW w:type="dxa" w:w="5482"/>
          </w:tcPr>
          <w:p w14:paraId="40000000">
            <w:pPr>
              <w:spacing w:after="12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«Физическое развитие»</w:t>
            </w:r>
          </w:p>
        </w:tc>
        <w:tc>
          <w:tcPr>
            <w:tcW w:type="dxa" w:w="2299"/>
          </w:tcPr>
          <w:p w14:paraId="41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детей (92%)</w:t>
            </w:r>
          </w:p>
        </w:tc>
        <w:tc>
          <w:tcPr>
            <w:tcW w:type="dxa" w:w="2299"/>
          </w:tcPr>
          <w:p w14:paraId="42000000">
            <w:pPr>
              <w:spacing w:after="12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ребенок  (8%)</w:t>
            </w:r>
          </w:p>
        </w:tc>
      </w:tr>
    </w:tbl>
    <w:p w14:paraId="43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Сводная таблица резу</w:t>
      </w:r>
      <w:r>
        <w:rPr>
          <w:b w:val="1"/>
          <w:sz w:val="28"/>
        </w:rPr>
        <w:t>льтатов освоения детьми  подготовительной</w:t>
      </w:r>
      <w:r>
        <w:rPr>
          <w:b w:val="1"/>
          <w:sz w:val="28"/>
        </w:rPr>
        <w:t xml:space="preserve"> группы компенсирующей направленности для детей с нарушением речи № 14.</w:t>
      </w:r>
    </w:p>
    <w:tbl>
      <w:tblPr>
        <w:tblStyle w:val="Style_1"/>
        <w:tblLayout w:type="fixed"/>
      </w:tblPr>
      <w:tblGrid>
        <w:gridCol w:w="4890"/>
        <w:gridCol w:w="4891"/>
      </w:tblGrid>
      <w:tr>
        <w:tc>
          <w:tcPr>
            <w:tcW w:type="dxa" w:w="4890"/>
          </w:tcPr>
          <w:p w14:paraId="4400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Освоили</w:t>
            </w:r>
          </w:p>
        </w:tc>
        <w:tc>
          <w:tcPr>
            <w:tcW w:type="dxa" w:w="4891"/>
          </w:tcPr>
          <w:p w14:paraId="4500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детей (84</w:t>
            </w:r>
            <w:r>
              <w:rPr>
                <w:sz w:val="28"/>
              </w:rPr>
              <w:t>%)</w:t>
            </w:r>
          </w:p>
        </w:tc>
      </w:tr>
      <w:tr>
        <w:tc>
          <w:tcPr>
            <w:tcW w:type="dxa" w:w="4890"/>
          </w:tcPr>
          <w:p w14:paraId="4600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Имеют затруднения</w:t>
            </w:r>
          </w:p>
        </w:tc>
        <w:tc>
          <w:tcPr>
            <w:tcW w:type="dxa" w:w="4891"/>
          </w:tcPr>
          <w:p w14:paraId="4700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ребенка  (16</w:t>
            </w:r>
            <w:r>
              <w:rPr>
                <w:sz w:val="28"/>
              </w:rPr>
              <w:t>%)</w:t>
            </w:r>
          </w:p>
        </w:tc>
      </w:tr>
    </w:tbl>
    <w:p w14:paraId="48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Игровая деятельность</w:t>
      </w:r>
    </w:p>
    <w:tbl>
      <w:tblPr>
        <w:tblStyle w:val="Style_1"/>
        <w:tblLayout w:type="fixed"/>
      </w:tblPr>
      <w:tblGrid>
        <w:gridCol w:w="4998"/>
        <w:gridCol w:w="4999"/>
      </w:tblGrid>
      <w:tr>
        <w:tc>
          <w:tcPr>
            <w:tcW w:type="dxa" w:w="4998"/>
          </w:tcPr>
          <w:p w14:paraId="49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Освоили</w:t>
            </w:r>
          </w:p>
        </w:tc>
        <w:tc>
          <w:tcPr>
            <w:tcW w:type="dxa" w:w="4999"/>
          </w:tcPr>
          <w:p w14:paraId="4A00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детей (84%)</w:t>
            </w:r>
          </w:p>
        </w:tc>
      </w:tr>
      <w:tr>
        <w:tc>
          <w:tcPr>
            <w:tcW w:type="dxa" w:w="4998"/>
          </w:tcPr>
          <w:p w14:paraId="4B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Имеют затруднения</w:t>
            </w:r>
          </w:p>
        </w:tc>
        <w:tc>
          <w:tcPr>
            <w:tcW w:type="dxa" w:w="4999"/>
          </w:tcPr>
          <w:p w14:paraId="4C00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ребенка  (16%)</w:t>
            </w:r>
          </w:p>
        </w:tc>
      </w:tr>
    </w:tbl>
    <w:p w14:paraId="4D000000">
      <w:pPr>
        <w:pStyle w:val="Style_2"/>
        <w:spacing w:line="276" w:lineRule="auto"/>
        <w:ind/>
        <w:jc w:val="both"/>
        <w:rPr>
          <w:sz w:val="28"/>
        </w:rPr>
      </w:pPr>
    </w:p>
    <w:p w14:paraId="4E000000">
      <w:pPr>
        <w:pStyle w:val="Style_2"/>
        <w:spacing w:line="276" w:lineRule="auto"/>
        <w:ind/>
        <w:jc w:val="both"/>
        <w:rPr>
          <w:sz w:val="28"/>
        </w:rPr>
      </w:pPr>
      <w:bookmarkStart w:id="1" w:name="_GoBack"/>
      <w:bookmarkEnd w:id="1"/>
      <w:r>
        <w:rPr>
          <w:sz w:val="28"/>
        </w:rPr>
        <w:t>Рекомен</w:t>
      </w:r>
      <w:r>
        <w:rPr>
          <w:sz w:val="28"/>
        </w:rPr>
        <w:t>д</w:t>
      </w:r>
      <w:r>
        <w:rPr>
          <w:sz w:val="28"/>
        </w:rPr>
        <w:t>ации</w:t>
      </w:r>
      <w:r>
        <w:rPr>
          <w:sz w:val="28"/>
        </w:rPr>
        <w:t xml:space="preserve"> родителям </w:t>
      </w:r>
      <w:r>
        <w:rPr>
          <w:sz w:val="28"/>
        </w:rPr>
        <w:t xml:space="preserve"> по результатам педагогич</w:t>
      </w:r>
      <w:r>
        <w:rPr>
          <w:sz w:val="28"/>
        </w:rPr>
        <w:t xml:space="preserve">еской диагностики </w:t>
      </w:r>
      <w:r>
        <w:rPr>
          <w:sz w:val="28"/>
        </w:rPr>
        <w:t>на конец</w:t>
      </w:r>
      <w:r>
        <w:rPr>
          <w:sz w:val="28"/>
        </w:rPr>
        <w:t xml:space="preserve"> 2022-2023</w:t>
      </w:r>
      <w:r>
        <w:rPr>
          <w:sz w:val="28"/>
        </w:rPr>
        <w:t xml:space="preserve"> учебного года </w:t>
      </w:r>
    </w:p>
    <w:p w14:paraId="4F000000">
      <w:pPr>
        <w:pStyle w:val="Style_3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образовательной области </w:t>
      </w:r>
      <w:r>
        <w:rPr>
          <w:rFonts w:ascii="Times New Roman" w:hAnsi="Times New Roman"/>
          <w:b w:val="1"/>
          <w:sz w:val="28"/>
        </w:rPr>
        <w:t>«Социально – коммуникативное развитие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Способствовать созданию атмосферы доверия, понимания, уважения в семье, путём создания ситуации доверительного, откровенного общения с ребенком и между собой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Стараться быть для ребенка примером позитивного (конструктивного) общения: адекватно реагировать на различные ситуации, правильно проявлять своё отношение к чему-либо и к кому-либо, эмоционально откликаться на ситуацию, показывать верные подходы к решению проблем различного рода, показывать</w:t>
      </w:r>
      <w:r>
        <w:rPr>
          <w:rFonts w:ascii="Times New Roman" w:hAnsi="Times New Roman"/>
          <w:sz w:val="28"/>
        </w:rPr>
        <w:t xml:space="preserve"> способы разрешения конфликтов. </w:t>
      </w:r>
      <w:r>
        <w:rPr>
          <w:rFonts w:ascii="Times New Roman" w:hAnsi="Times New Roman"/>
          <w:sz w:val="28"/>
        </w:rPr>
        <w:t xml:space="preserve">Развивать волевые качества характера у детей (терпение, умение </w:t>
      </w:r>
      <w:r>
        <w:rPr>
          <w:rFonts w:ascii="Times New Roman" w:hAnsi="Times New Roman"/>
          <w:sz w:val="28"/>
        </w:rPr>
        <w:t>выслушать до конца, целеустремленность, умение закончить</w:t>
      </w:r>
      <w:r>
        <w:rPr>
          <w:rFonts w:ascii="Times New Roman" w:hAnsi="Times New Roman"/>
          <w:sz w:val="28"/>
        </w:rPr>
        <w:t xml:space="preserve"> начатое) через игры, поручения.</w:t>
      </w:r>
    </w:p>
    <w:p w14:paraId="50000000">
      <w:pPr>
        <w:pStyle w:val="Style_3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образовательной области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Познавательное развитие»</w:t>
      </w:r>
      <w:r>
        <w:rPr>
          <w:rFonts w:ascii="Times New Roman" w:hAnsi="Times New Roman"/>
          <w:b w:val="1"/>
          <w:sz w:val="28"/>
        </w:rPr>
        <w:t>.</w:t>
      </w:r>
    </w:p>
    <w:p w14:paraId="51000000">
      <w:pPr>
        <w:pStyle w:val="Style_3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Способствовать формированию у ребенка навыка управлять вниманием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целью. Регулярно включать в деятельность детей выполнение заданий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предварительно разработанному плану действий: можно выполнять постройки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конструкторов, рисунки, орнаменты, аппликации, поделки.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Предлагать сравнивать, анализировать образец и результаты своей или чужой работы,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 и исправлять ошибки.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Продолжать  развивать у ребенка потребности к познанию, общению с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</w:t>
      </w:r>
    </w:p>
    <w:p w14:paraId="52000000">
      <w:pPr>
        <w:pStyle w:val="Style_3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образовательной области</w:t>
      </w:r>
      <w:r>
        <w:rPr>
          <w:rFonts w:ascii="Times New Roman" w:hAnsi="Times New Roman"/>
          <w:b w:val="1"/>
          <w:sz w:val="28"/>
        </w:rPr>
        <w:t xml:space="preserve"> «Речевое развитие»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Особое внимание уделять развитию связной речи, но и продолжать развивать все компоненты устной речи детей, обогащать и активировать словарь; стимулировать использование в речи прилагательных и глаголов. Формировать правильное звукопроизношение, используя упражнения и дидактические игры.</w:t>
      </w:r>
      <w:r>
        <w:rPr>
          <w:rFonts w:ascii="Times New Roman" w:hAnsi="Times New Roman"/>
          <w:sz w:val="28"/>
        </w:rPr>
        <w:t xml:space="preserve"> Вместе с деть</w:t>
      </w:r>
      <w:r>
        <w:rPr>
          <w:rFonts w:ascii="Times New Roman" w:hAnsi="Times New Roman"/>
          <w:sz w:val="28"/>
        </w:rPr>
        <w:t>ми учиться составлять</w:t>
      </w:r>
      <w:r>
        <w:rPr>
          <w:rFonts w:ascii="Times New Roman" w:hAnsi="Times New Roman"/>
          <w:sz w:val="28"/>
        </w:rPr>
        <w:t xml:space="preserve"> рассказы по сюжетным картинкам, по набору картинок</w:t>
      </w:r>
    </w:p>
    <w:p w14:paraId="53000000">
      <w:pPr>
        <w:pStyle w:val="Style_3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образовательной области </w:t>
      </w:r>
      <w:r>
        <w:rPr>
          <w:rFonts w:ascii="Times New Roman" w:hAnsi="Times New Roman"/>
          <w:b w:val="1"/>
          <w:sz w:val="28"/>
        </w:rPr>
        <w:t>«Художественно – эстетическое развитие»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  развивать художественную деятельность детей  дома;  активно   использовать формы совместной с детьми деятельности,  которые способствуют возникновению творческого вдохновения. Организовывать  совместное рассматривание зданий, декоративн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архитектурных элементов, привлекших внимание ребенка на прогулках и экскурсиях; показывать ценность общения по поводу увиденного . Организовывать семейные посещения музеев изобразительных искусств, выставочных залов, детской художественной галереи, мастерских художников и скульпторов.</w:t>
      </w:r>
    </w:p>
    <w:p w14:paraId="54000000">
      <w:pPr>
        <w:pStyle w:val="Style_3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образовательной области </w:t>
      </w:r>
      <w:r>
        <w:rPr>
          <w:rFonts w:ascii="Times New Roman" w:hAnsi="Times New Roman"/>
          <w:b w:val="1"/>
          <w:sz w:val="28"/>
        </w:rPr>
        <w:t>«Физическое развитие»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Продолжать вести здоровый образ  жизни семьи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 xml:space="preserve"> Планировать совместный активный отдых, направленный на воздействие укрепления здоровья детей, тем самым способствовать накоплению и обогащению двигательного опыта детей, развивая у них  потребность в двигательной активности, интерес к физическим упражнениям.</w:t>
      </w:r>
    </w:p>
    <w:p w14:paraId="55000000">
      <w:pPr>
        <w:pStyle w:val="Style_3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игровой деятельности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 (очередность, разные виды жребия). Развивать у детей умения широко использовать игровую роль для развёртывания разнообразных сюжетов, для включения в согласованную со сверстниками игру. Совершенствовать умение детей </w:t>
      </w:r>
      <w:r>
        <w:rPr>
          <w:rFonts w:ascii="Times New Roman" w:hAnsi="Times New Roman"/>
          <w:sz w:val="28"/>
        </w:rPr>
        <w:t xml:space="preserve">регулировать поведение на основе игровых правил. Формировать у детей умение творчески комбинировать разнообразные события, создавая новый сюжет игры.  </w:t>
      </w:r>
    </w:p>
    <w:p w14:paraId="56000000">
      <w:pPr>
        <w:spacing w:after="120"/>
        <w:ind w:firstLine="426"/>
        <w:jc w:val="center"/>
        <w:rPr>
          <w:rFonts w:ascii="Times New Roman" w:hAnsi="Times New Roman"/>
          <w:b w:val="1"/>
          <w:sz w:val="28"/>
        </w:rPr>
      </w:pPr>
    </w:p>
    <w:p w14:paraId="57000000">
      <w:pPr>
        <w:spacing w:after="120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оспитатели </w:t>
      </w:r>
      <w:r>
        <w:rPr>
          <w:rFonts w:ascii="Times New Roman" w:hAnsi="Times New Roman"/>
          <w:sz w:val="28"/>
        </w:rPr>
        <w:t xml:space="preserve">   _____________________   Юдина С. М.</w:t>
      </w:r>
    </w:p>
    <w:p w14:paraId="58000000">
      <w:pPr>
        <w:spacing w:after="120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____</w:t>
      </w:r>
      <w:r>
        <w:rPr>
          <w:rFonts w:ascii="Times New Roman" w:hAnsi="Times New Roman"/>
          <w:sz w:val="28"/>
        </w:rPr>
        <w:t xml:space="preserve">_________________    </w:t>
      </w:r>
      <w:r>
        <w:rPr>
          <w:rFonts w:ascii="Times New Roman" w:hAnsi="Times New Roman"/>
          <w:sz w:val="28"/>
        </w:rPr>
        <w:t>Степанько</w:t>
      </w:r>
      <w:r>
        <w:rPr>
          <w:rFonts w:ascii="Times New Roman" w:hAnsi="Times New Roman"/>
          <w:sz w:val="28"/>
        </w:rPr>
        <w:t xml:space="preserve"> Н.А.</w:t>
      </w:r>
    </w:p>
    <w:p w14:paraId="59000000">
      <w:pPr>
        <w:spacing w:after="120"/>
        <w:ind w:firstLine="426"/>
        <w:rPr>
          <w:rFonts w:ascii="Times New Roman" w:hAnsi="Times New Roman"/>
          <w:sz w:val="28"/>
        </w:rPr>
      </w:pPr>
    </w:p>
    <w:p w14:paraId="5A000000">
      <w:pPr>
        <w:spacing w:after="120"/>
        <w:ind w:firstLine="42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Дата:____________</w:t>
      </w:r>
    </w:p>
    <w:p w14:paraId="5B000000">
      <w:pPr>
        <w:spacing w:after="120"/>
        <w:ind/>
        <w:rPr>
          <w:rFonts w:ascii="Times New Roman" w:hAnsi="Times New Roman"/>
          <w:sz w:val="28"/>
        </w:rPr>
      </w:pPr>
    </w:p>
    <w:p w14:paraId="5C000000">
      <w:pPr>
        <w:spacing w:after="12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426" w:footer="708" w:gutter="0" w:header="708" w:left="1276" w:right="8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Strong"/>
    <w:basedOn w:val="Style_8"/>
    <w:link w:val="Style_7_ch"/>
    <w:rPr>
      <w:b w:val="1"/>
    </w:rPr>
  </w:style>
  <w:style w:styleId="Style_7_ch" w:type="character">
    <w:name w:val="Strong"/>
    <w:basedOn w:val="Style_8_ch"/>
    <w:link w:val="Style_7"/>
    <w:rPr>
      <w:b w:val="1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4_ch"/>
    <w:link w:val="Style_13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4" w:type="paragraph">
    <w:name w:val="Emphasis"/>
    <w:basedOn w:val="Style_8"/>
    <w:link w:val="Style_14_ch"/>
    <w:rPr>
      <w:i w:val="1"/>
    </w:rPr>
  </w:style>
  <w:style w:styleId="Style_14_ch" w:type="character">
    <w:name w:val="Emphasis"/>
    <w:basedOn w:val="Style_8_ch"/>
    <w:link w:val="Style_14"/>
    <w:rPr>
      <w:i w:val="1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8_ch" w:type="character">
    <w:name w:val="heading 1"/>
    <w:basedOn w:val="Style_4_ch"/>
    <w:link w:val="Style_18"/>
    <w:rPr>
      <w:rFonts w:asciiTheme="majorAscii" w:hAnsiTheme="majorHAnsi"/>
      <w:b w:val="1"/>
      <w:color w:themeColor="accent1" w:themeShade="BF" w:val="366091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4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2024-05-23T06:55:29Z</dcterms:modified>
</cp:coreProperties>
</file>